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Aufzeichnungspflichten nach Mindestlohngesetz (MiLoG)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360336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u. a. (Muster)</w:t>
      </w:r>
    </w:p>
    <w:p>
      <w:pPr>
        <w:pStyle w:val="Standard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val="singl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0"/>
          <w:szCs w:val="20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Formular bezieht sich auf die nach mehreren rechtlichen Bestimmungen dem Arbeitgeber aufgegebenen Aufzeichnungspflichten hinsichtlich der Arbeitszeit der durch den Arbeitgeber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 Arbeitnehmer.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17 MiLoG muss der Arbeitgeber Beginn, Ende und Dauer der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glichen Arbeitszeit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alle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ftigten in den in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2a SchwarzArbG genannten Wirtschaftsbereichen bzw. -zweigen und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alle geringf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gig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ftigten im Sinne des </w:t>
      </w:r>
      <w:r>
        <w:rPr>
          <w:rStyle w:val="Hyperlink.1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1"/>
          <w:rFonts w:ascii="Verdana" w:cs="Verdana" w:hAnsi="Verdana" w:eastAsia="Verdana"/>
          <w:sz w:val="20"/>
          <w:szCs w:val="20"/>
        </w:rPr>
        <w:instrText xml:space="preserve"> HYPERLINK "http://dejure.org/gesetze/SGB_IV/8.html"</w:instrText>
      </w:r>
      <w:r>
        <w:rPr>
          <w:rStyle w:val="Hyperlink.1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1"/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Style w:val="Hyperlink.1"/>
          <w:rFonts w:ascii="Verdana" w:hAnsi="Verdana"/>
          <w:sz w:val="20"/>
          <w:szCs w:val="20"/>
          <w:rtl w:val="0"/>
          <w:lang w:val="de-DE"/>
        </w:rPr>
        <w:t>8 SGB IV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 (mit Ausnahme der Besch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ftigten in Privathaushalten nach </w:t>
      </w:r>
      <w:r>
        <w:rPr>
          <w:rStyle w:val="Hyperlink.1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1"/>
          <w:rFonts w:ascii="Verdana" w:cs="Verdana" w:hAnsi="Verdana" w:eastAsia="Verdana"/>
          <w:sz w:val="20"/>
          <w:szCs w:val="20"/>
        </w:rPr>
        <w:instrText xml:space="preserve"> HYPERLINK "http://dejure.org/gesetze/SGB_IV/8a.html"</w:instrText>
      </w:r>
      <w:r>
        <w:rPr>
          <w:rStyle w:val="Hyperlink.1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1"/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Style w:val="Hyperlink.1"/>
          <w:rFonts w:ascii="Verdana" w:hAnsi="Verdana"/>
          <w:sz w:val="20"/>
          <w:szCs w:val="20"/>
          <w:rtl w:val="0"/>
          <w:lang w:val="de-DE"/>
        </w:rPr>
        <w:t>8a SGB IV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) sp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testens bis zum Ablauf des siebten auf den Tag der Arbeitsleistung folgenden Kalendertages aufzeichnen und die Aufzeichnungen wenigstens zwei Jahre - beginnend ab dem f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r die Aufzeichnung ma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geblichen Zeitpunkt - aufbewahren.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2a SchwarzArbG betrifft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das Baugewerbe,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das Gastst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tten- und Beherbergungsgewerbe,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das Personenbef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rderungsgewerbe, das Speditions-, Transport und das damit verbundene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Logistikgewerbe,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das Schaustellergewerbe,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die Geb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udereinigung,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die Forstwirtschaft,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die Fleischwirtschaft sowie</w:t>
      </w:r>
    </w:p>
    <w:p>
      <w:pPr>
        <w:pStyle w:val="Standard"/>
        <w:numPr>
          <w:ilvl w:val="0"/>
          <w:numId w:val="4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Unternehmen im Auf- und Abbau von Messen und Ausstellungen.</w:t>
      </w:r>
    </w:p>
    <w:p>
      <w:pPr>
        <w:pStyle w:val="Standard"/>
        <w:spacing w:before="120"/>
        <w:ind w:left="360" w:firstLine="0"/>
        <w:rPr>
          <w:rStyle w:val="Ohne"/>
          <w:rFonts w:ascii="Verdana" w:cs="Verdana" w:hAnsi="Verdana" w:eastAsia="Verdana"/>
          <w:sz w:val="20"/>
          <w:szCs w:val="20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Daneben bestehen schon bislang und unabh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ngig von den Pflichten zur Aufzeichnung nach MiLoG Aufzeichnungspflichten in den in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"http://dejure.org/gesetze/AEntG/4.html"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 xml:space="preserve">§ </w:t>
      </w:r>
      <w:r>
        <w:rPr>
          <w:rStyle w:val="Hyperlink.2"/>
          <w:rtl w:val="0"/>
          <w:lang w:val="de-DE"/>
        </w:rPr>
        <w:t>4 AEntG</w:t>
      </w:r>
      <w:r>
        <w:rPr/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 genannten Branchen (zum Teil mit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2a SchwarzArbG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bereinstimmend). Diese Branchen sind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das Bauhauptgewerbe und das Baunebengewerbe im Sinne der Baubetriebe-Verordnung vom 28.10.1980 (BGBl. I S. 2033), zuletzt ge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ndert durch die Verordnung vom 26.04.2006 (BGBl. I S. 1085), in der jeweils geltenden Fassung, einschlie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lich der Erbringung von Montageleistungen auf Baustellen au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erhalb des Betriebssitzes,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die Geb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udereinigung,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Briefdienstleistungen,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Sicherheitsdienstleistungen,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Bergbauspezialarbeiten auf Steinkohlebergwerken,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W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schereidienstleistungen im Objektkundengesch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ft,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Abfallwirtschaft einschlie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lich Stra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enreinigung und Winterdienst,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Aus- und Weiterbildungsdienstleistungen nach SGB II oder SGB III</w:t>
      </w:r>
    </w:p>
    <w:p>
      <w:pPr>
        <w:pStyle w:val="Standard"/>
        <w:numPr>
          <w:ilvl w:val="0"/>
          <w:numId w:val="6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Schlachten und Fleischverarbeitung.</w:t>
      </w:r>
    </w:p>
    <w:p>
      <w:pPr>
        <w:pStyle w:val="Standard"/>
        <w:spacing w:before="120"/>
        <w:ind w:left="284" w:firstLine="0"/>
        <w:rPr>
          <w:rStyle w:val="Ohne"/>
          <w:rFonts w:ascii="Verdana" w:cs="Verdana" w:hAnsi="Verdana" w:eastAsia="Verdana"/>
          <w:sz w:val="20"/>
          <w:szCs w:val="20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brigen ist auch im Bereich der Pflege an Aufzeichnungspflichten zu denken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"http://dejure.org/gesetze/AEntG/13.html"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 xml:space="preserve">§§ </w:t>
      </w:r>
      <w:r>
        <w:rPr>
          <w:rStyle w:val="Hyperlink.2"/>
          <w:rtl w:val="0"/>
          <w:lang w:val="de-DE"/>
        </w:rPr>
        <w:t>13</w:t>
      </w:r>
      <w:r>
        <w:rPr/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 i.V.m.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"http://dejure.org/gesetze/AEntG/19.html"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19</w:t>
      </w:r>
      <w:r>
        <w:rPr/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 i.V.m.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"http://dejure.org/gesetze/AEntG/7.html"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7 AEntG</w:t>
      </w:r>
      <w:r>
        <w:rPr/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). Im Detail ist hier einiges unklar, denn in der Vergangenheit wurde die Regelung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ber die Aufzeichnungspflichten h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ufig folgenlos nicht beachtet; zudem hat der Verordnungsgeber zuletzt mit der Mindestlohnmeldeverordnung (dort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§ 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2 Abs. 4) f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r Unsicherheit bei der Beurteilung der Rechtslage gesorgt. Siehe im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brigen auch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"http://dejure.org/gesetze/AEntG/19.html"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 xml:space="preserve">§ </w:t>
      </w:r>
      <w:r>
        <w:rPr>
          <w:rStyle w:val="Hyperlink.2"/>
          <w:rtl w:val="0"/>
          <w:lang w:val="de-DE"/>
        </w:rPr>
        <w:t>19 AEntG</w:t>
      </w:r>
      <w:r>
        <w:rPr/>
        <w:fldChar w:fldCharType="end" w:fldLock="0"/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.</w:t>
      </w:r>
    </w:p>
    <w:p>
      <w:pPr>
        <w:pStyle w:val="Standard"/>
        <w:tabs>
          <w:tab w:val="left" w:pos="284"/>
        </w:tabs>
        <w:spacing w:before="120"/>
        <w:ind w:left="284" w:hanging="284"/>
        <w:rPr>
          <w:rStyle w:val="Ohne"/>
          <w:rFonts w:ascii="Verdana" w:cs="Verdana" w:hAnsi="Verdana" w:eastAsia="Verdana"/>
          <w:sz w:val="20"/>
          <w:szCs w:val="20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3.</w:t>
        <w:tab/>
        <w:t>Das Formular enth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lt lediglich die gesetzlichen Mindestangaben. Es k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nnen nat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rlich weitere Angaben - z. B. Urlaubs- und Krankheitstage - 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eingebaut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werden. Das kann sich u. a. bei Minijobbern empfehlen, um in diesen F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llen die Gew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hrung der gesetzlich geregelten Anspr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che des Arbeitnehmers nachweisen zu k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nnen.</w:t>
      </w:r>
    </w:p>
    <w:p>
      <w:pPr>
        <w:pStyle w:val="Standard"/>
        <w:tabs>
          <w:tab w:val="left" w:pos="284"/>
        </w:tabs>
        <w:spacing w:before="120"/>
        <w:ind w:left="284" w:hanging="284"/>
        <w:rPr>
          <w:rStyle w:val="Ohne"/>
          <w:rFonts w:ascii="Verdana" w:cs="Verdana" w:hAnsi="Verdana" w:eastAsia="Verdana"/>
          <w:sz w:val="20"/>
          <w:szCs w:val="20"/>
        </w:rPr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4.</w:t>
        <w:tab/>
        <w:t xml:space="preserve">Der Arbeitnehmer muss die entsprechenden Aufzeichnungen </w:t>
      </w:r>
      <w:r>
        <w:rPr>
          <w:rStyle w:val="Ohne"/>
          <w:rFonts w:ascii="Verdana" w:hAnsi="Verdana"/>
          <w:sz w:val="20"/>
          <w:szCs w:val="20"/>
          <w:u w:val="single"/>
          <w:rtl w:val="0"/>
          <w:lang w:val="de-DE"/>
        </w:rPr>
        <w:t>nicht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 unterschreiben. Das kann sich aber gleichwohl empfehlen, wenn denn dem etwaig sp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teren Streit um die Arbeitszeiten und ggf. anderen Leistungen (z. B. Gew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hrung von Urlaub) vorgebeugt werden soll.</w:t>
      </w:r>
    </w:p>
    <w:p>
      <w:pPr>
        <w:pStyle w:val="Standard"/>
        <w:tabs>
          <w:tab w:val="left" w:pos="284"/>
        </w:tabs>
        <w:spacing w:before="120"/>
        <w:ind w:left="284" w:hanging="284"/>
      </w:pPr>
      <w:r>
        <w:rPr>
          <w:rStyle w:val="Ohne"/>
          <w:rFonts w:ascii="Verdana" w:hAnsi="Verdana"/>
          <w:sz w:val="20"/>
          <w:szCs w:val="20"/>
          <w:rtl w:val="0"/>
          <w:lang w:val="de-DE"/>
        </w:rPr>
        <w:t>5.</w:t>
        <w:tab/>
        <w:t>Das Muster unterstellt, dass kein Tarifvertrag und keine Betriebsvereinbarung einschl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gig ist. Das Muster ist unter Umst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nden u. a. wegen inzwischen ver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ffentlichter Rechtsprechung zu aktualisieren. Bitte setzen Sie sich hierzu unverbindlich mit uns in Verbindung.</w:t>
        <w:br w:type="textWrapping"/>
      </w:r>
      <w:r>
        <w:rPr>
          <w:rStyle w:val="Ohne"/>
          <w:rFonts w:ascii="Verdana" w:cs="Verdana" w:hAnsi="Verdana" w:eastAsia="Verdana"/>
          <w:sz w:val="20"/>
          <w:szCs w:val="20"/>
        </w:rPr>
        <w:br w:type="page"/>
      </w:r>
    </w:p>
    <w:p>
      <w:pPr>
        <w:pStyle w:val="Standard"/>
        <w:tabs>
          <w:tab w:val="left" w:pos="284"/>
        </w:tabs>
        <w:spacing w:before="120"/>
        <w:ind w:left="284" w:hanging="284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-576311</wp:posOffset>
            </wp:positionH>
            <wp:positionV relativeFrom="page">
              <wp:posOffset>0</wp:posOffset>
            </wp:positionV>
            <wp:extent cx="9179913" cy="1299037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beitszeitnachweis-mindestlohngesetz-etl-ra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179913" cy="129903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004" w:hanging="72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724" w:hanging="6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44" w:hanging="72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164" w:hanging="72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884" w:hanging="6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604" w:hanging="72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324" w:hanging="72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044" w:hanging="6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Ohne">
    <w:name w:val="Ohne"/>
  </w:style>
  <w:style w:type="character" w:styleId="Hyperlink.1">
    <w:name w:val="Hyperlink.1"/>
    <w:basedOn w:val="Oh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  <w:style w:type="character" w:styleId="Hyperlink.2">
    <w:name w:val="Hyperlink.2"/>
    <w:basedOn w:val="Ohne"/>
    <w:next w:val="Hyperlink.2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numbering" w:styleId="Importierter Stil: 3">
    <w:name w:val="Importierter Stil: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