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Fehlgeldentsch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digung bzw. Mankogeld (Muster)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3541023</wp:posOffset>
            </wp:positionH>
            <wp:positionV relativeFrom="line">
              <wp:posOffset>179508</wp:posOffset>
            </wp:positionV>
            <wp:extent cx="1810757" cy="57152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757" cy="571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widowControl w:val="1"/>
        <w:rPr>
          <w:rFonts w:ascii="Verdana" w:cs="Verdana" w:hAnsi="Verdana" w:eastAsia="Verdana"/>
          <w:sz w:val="22"/>
          <w:szCs w:val="22"/>
          <w:u w:val="single" w:color="ffffff"/>
        </w:rPr>
      </w:pPr>
    </w:p>
    <w:p>
      <w:pPr>
        <w:pStyle w:val="Standard"/>
        <w:widowControl w:val="1"/>
        <w:rPr>
          <w:rFonts w:ascii="Verdana" w:cs="Verdana" w:hAnsi="Verdana" w:eastAsia="Verdana"/>
          <w:sz w:val="22"/>
          <w:szCs w:val="22"/>
          <w:u w:val="single" w:color="ffffff"/>
        </w:rPr>
      </w:pPr>
    </w:p>
    <w:p>
      <w:pPr>
        <w:pStyle w:val="Standard"/>
        <w:widowControl w:val="1"/>
        <w:rPr>
          <w:rFonts w:ascii="Verdana" w:cs="Verdana" w:hAnsi="Verdana" w:eastAsia="Verdana"/>
          <w:sz w:val="22"/>
          <w:szCs w:val="22"/>
          <w:u w:val="single" w:color="ffffff"/>
        </w:rPr>
      </w:pPr>
    </w:p>
    <w:p>
      <w:pPr>
        <w:pStyle w:val="Standard"/>
        <w:widowControl w:val="1"/>
        <w:rPr>
          <w:rFonts w:ascii="Verdana" w:cs="Verdana" w:hAnsi="Verdana" w:eastAsia="Verdana"/>
          <w:sz w:val="22"/>
          <w:szCs w:val="22"/>
          <w:u w:val="single" w:color="ffffff"/>
        </w:rPr>
      </w:pPr>
    </w:p>
    <w:p>
      <w:pPr>
        <w:pStyle w:val="Standard"/>
        <w:widowControl w:val="1"/>
        <w:rPr>
          <w:rFonts w:ascii="Verdana" w:cs="Verdana" w:hAnsi="Verdana" w:eastAsia="Verdana"/>
          <w:sz w:val="22"/>
          <w:szCs w:val="22"/>
          <w:u w:val="single" w:color="ffffff"/>
        </w:rPr>
      </w:pPr>
      <w:r>
        <w:rPr>
          <w:rFonts w:ascii="Verdana" w:hAnsi="Verdana"/>
          <w:sz w:val="22"/>
          <w:szCs w:val="22"/>
          <w:u w:val="single" w:color="ffffff"/>
          <w:rtl w:val="0"/>
          <w:lang w:val="de-DE"/>
        </w:rPr>
        <w:t>Zu diesem Muster:</w:t>
      </w:r>
    </w:p>
    <w:p>
      <w:pPr>
        <w:pStyle w:val="Standard"/>
        <w:widowControl w:val="1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widowControl w:val="1"/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widowControl w:val="1"/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widowControl w:val="1"/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 hinaus.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widowControl w:val="1"/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widowControl w:val="1"/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widowControl w:val="1"/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widowControl w:val="1"/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widowControl w:val="1"/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widowControl w:val="1"/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widowControl w:val="1"/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widowControl w:val="1"/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ß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 M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sz w:val="22"/>
          <w:szCs w:val="22"/>
          <w:u w:color="ffffff"/>
        </w:rPr>
        <w:fldChar w:fldCharType="end" w:fldLock="0"/>
      </w:r>
    </w:p>
    <w:p>
      <w:pPr>
        <w:pStyle w:val="Standard"/>
        <w:pageBreakBefore w:val="1"/>
        <w:jc w:val="center"/>
        <w:rPr>
          <w:rFonts w:ascii="Verdana" w:cs="Verdana" w:hAnsi="Verdana" w:eastAsia="Verdan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Zusatzvereinbarung </w:t>
      </w:r>
      <w:r>
        <w:rPr>
          <w:rFonts w:ascii="Verdana" w:hAnsi="Verdana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eine Fehlgeldentsch</w:t>
      </w:r>
      <w:r>
        <w:rPr>
          <w:rFonts w:ascii="Verdana" w:hAnsi="Verdana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b w:val="1"/>
          <w:bCs w:val="1"/>
          <w:outline w:val="0"/>
          <w:color w:val="000000"/>
          <w:sz w:val="28"/>
          <w:szCs w:val="2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 (Mankogeld)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center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Zwischen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right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- nachfolgend 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Arbeitgeber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</w:t>
      </w:r>
    </w:p>
    <w:p>
      <w:pPr>
        <w:pStyle w:val="Standard"/>
        <w:jc w:val="center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center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und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spacing w:before="100" w:after="10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Frau/Herrn __________________________________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[Name, Vorname, Anschrift]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right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right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- nachfolgend 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Verdana" w:hAnsi="Verdana"/>
          <w:i w:val="1"/>
          <w:i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Arbeitnehmer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wird mit Wirkung ab dem ____________ [Datum] folgende Zusatzvereinbarung getroffen.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</w:t>
      </w:r>
      <w:r>
        <w:rPr>
          <w:rFonts w:ascii="Verdana" w:hAnsi="Verdana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ambel 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Parteien verbindet ein Arbeitsverh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ltnis. Ma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geblich ist der schriftliche Arbeitsvertrag vom ________ [Datum].  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 Arbeitnehmer ist verantwortlich f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eine Barkasse. Ziel des Arbeitgebers sowie dieser Zusatzvereinbarung zum Arbeitsvertrag ist es, dass es im Rahmen der Kassenf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hrung nicht zu einem Kassenmanko (Fehlbestand) kommt. Der Arbeitgeber gew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hrt dem Ar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softHyphen/>
        <w:t>beitnehmer daher als Leistungsanreiz eine Fehlgeldentsch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 im Sinne einer Fehlbe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softHyphen/>
        <w:t>stands-Vermeidungspr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mie. Damit verkn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pft sich eine erweiterte Haftung des Arbeit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softHyphen/>
        <w:t>nehmers gegen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ber dem Arbeitgeber. Die Einzelheiten regelt der nachfolgende Zusatz zum Arbeitsvertrag. </w:t>
      </w:r>
    </w:p>
    <w:p>
      <w:pPr>
        <w:pStyle w:val="Standard"/>
        <w:spacing w:line="360" w:lineRule="auto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 Zahlung einer Fehlgeldentsch</w:t>
      </w:r>
      <w:r>
        <w:rPr>
          <w:rFonts w:ascii="Verdana" w:hAnsi="Verdana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digung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Als Gegenleistung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 das durch den Arbeitnehmer nach diesem Vertrag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bernomme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ne zus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tzliche Haftungsrisiko (s. dazu 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2)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 der Arbeitgeber dem Arbeitnehmer eine Fehlgeldentsch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digung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von 16,00 Euro monatlich (was einem Jahresbetrag in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he von 192,00 Euro entspricht). 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(2) Die Parteien gehen davon aus, dass es sich bei der Entsch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digungszahlung um Ar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beitslohn im Sinne des Lohnsteuerrechts handelt, welcher aktuell steuer- und sozialversiche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 xml:space="preserve">rungsfrei ist.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Verdana" w:hAnsi="Verdana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2 Haftung des Arbeitnehmers / Fragen der Beweislast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(1) Der Arbeitnehmer hat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etwaige Kassenfehlbest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 der von ihm beaufsichtigten Barkasse(n) einzustehen. Der Arbeitnehmer haftet dem Arbeitgeber gegen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auch dann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einen Fehlbestand, wenn ihm kein Verschulden nachgewiesen werden kann. Es bleibt dem Arbeitnehmer jedoch das Recht nachzuweisen, dass ihn kein Verschulden trifft. Auch 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gt der Arbeitgeber die Beweislast daf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r, dass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berhaupt ein Manko aufge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 xml:space="preserve">treten ist. 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(2) Die Haftung des Arbeitnehmers ist 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– </w:t>
      </w:r>
      <w:r>
        <w:rPr>
          <w:rFonts w:ascii="Verdana" w:hAnsi="Verdana"/>
          <w:sz w:val="20"/>
          <w:szCs w:val="20"/>
          <w:rtl w:val="0"/>
          <w:lang w:val="de-DE"/>
        </w:rPr>
        <w:t>von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llen vors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tzlichen Handelns des Arbeitnehmers abgesehen - auf die ihm innerhalb der zur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ckliegenden 12 Mo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nate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hrte Fehlgeldentsch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digung (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sz w:val="20"/>
          <w:szCs w:val="20"/>
          <w:rtl w:val="0"/>
          <w:lang w:val="de-DE"/>
        </w:rPr>
        <w:t>1 dieses Vertrages) begrenzt. In allen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llen, in denen der Fehlbetrag 192,00 Euro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bersteigt, verbleibt es bei den nach Gesetz und Rechtsprechung 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geblichen Grunds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tzen der (beschr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nkten) Arbeitnehmerhaftung. In F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llen vors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tzlichen Handelns haftet der Arbeitnehmer uneingeschr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nkt.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(3) Hat der Arbeitnehmer (noch) nicht wenigstens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12 Monate Mankogeld bezogen,  so ist die Mankohaftung nach vorstehenden Abs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tzen 1 und 2 auf den tats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chlich durch den Arbeitnehmer erlangten Geldbetrag begrenzt; das gilt nicht im Falle eines vors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tzlichen Handelns des Arbeitnehmers.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3 Salvatorische Klausel 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Sollten einzelne Bestimmungen dieses Vertrages unwirksam, nichtig oder undurchf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 sein oder nach Vertragsschluss unwirksam, nichtig oder undurchf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hrbar werden, so wird dadurch die Wirksamkeit des Vertrages im 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brigen nicht ber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hrt. An die Stelle der un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softHyphen/>
        <w:t>wirksamen, nichtigen oder undurchf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hrbaren Bestimmung soll diejenige wirksame und durchf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hrbare Regelung treten, deren Wirkungen der wirtschaftlichen Zielsetzung m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softHyphen/>
        <w:t>lichst nahe kommen, die die Vertragsparteien mit der unwirksamen oder nichtigen bezie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softHyphen/>
        <w:t>hungsweise undurchf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hrbaren Bestimmung verfolgt haben. Die vorstehenden Bestim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softHyphen/>
        <w:t>mungen gelten entsprechend f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Fall, dass sich der Vertrag als l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ckenhaft erweist. </w:t>
      </w:r>
      <w:r>
        <w:rPr>
          <w:rFonts w:ascii="Verdana" w:hAnsi="Verdana" w:hint="default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139 BGB (Teilnichtigkeit) findet keine Anwendung. 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Ort/Datum/Unterschrift Arbeitnehmer</w:t>
      </w: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Standard"/>
        <w:jc w:val="both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_____________________________________</w:t>
      </w:r>
    </w:p>
    <w:p>
      <w:pPr>
        <w:pStyle w:val="Standard"/>
        <w:rPr>
          <w:rFonts w:ascii="Verdana" w:cs="Verdana" w:hAnsi="Verdana" w:eastAsia="Verdan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Verdana" w:hAnsi="Verdana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Ort/Datum/Unterschrift Arbeitgeber</w:t>
      </w:r>
    </w:p>
    <w:p>
      <w:pPr>
        <w:pStyle w:val="Standard"/>
      </w:pPr>
      <w:r>
        <w:rPr>
          <w:rFonts w:ascii="Verdana" w:cs="Verdana" w:hAnsi="Verdana" w:eastAsia="Verdana"/>
          <w:sz w:val="20"/>
          <w:szCs w:val="20"/>
        </w:rPr>
      </w:r>
    </w:p>
    <w:sectPr>
      <w:headerReference w:type="default" r:id="rId5"/>
      <w:headerReference w:type="even" r:id="rId6"/>
      <w:footerReference w:type="default" r:id="rId7"/>
      <w:footerReference w:type="even" r:id="rId8"/>
      <w:pgSz w:w="11900" w:h="16840" w:orient="portrait"/>
      <w:pgMar w:top="1377" w:right="2123" w:bottom="1134" w:left="133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