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uppressAutoHyphens w:val="1"/>
        <w:spacing w:line="360" w:lineRule="auto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  <w:r>
        <w:rPr>
          <w:rFonts w:ascii="Verdana" w:hAnsi="Verdana" w:hint="default"/>
          <w:b w:val="1"/>
          <w:bCs w:val="1"/>
          <w:kern w:val="2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kern w:val="2"/>
          <w:sz w:val="28"/>
          <w:szCs w:val="28"/>
          <w:rtl w:val="0"/>
          <w:lang w:val="de-DE"/>
        </w:rPr>
        <w:t>berstundenvereinbarung (Muster)</w:t>
      </w:r>
      <w:r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4082135</wp:posOffset>
            </wp:positionH>
            <wp:positionV relativeFrom="line">
              <wp:posOffset>94390</wp:posOffset>
            </wp:positionV>
            <wp:extent cx="1668425" cy="52659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25" cy="526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jc w:val="both"/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ffffff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Nebent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tigkeit (arbeitsvertragliche Klausel)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Arbeitnehmer ben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tigt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 Nebent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tigkeit, unabh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 davon, ob sie entgeltlich oder unentgeltlich erfolgt, der vorherigen Zustimmung durch den Arbeitgeber. Die Zustimmung ist zu erteilen, wenn die durch den Arbeitnehmer angestrebte Nebenbesch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ftigung den Arbeitnehmer nicht oder jedenfalls nicht mehr als unwesentlich an der Wahrnehmung seiner arbeitsvertraglichen Pflichten behindert und auch sonst berechtigte Interessen des Arbeitgebers nicht nachteilig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 werden. Eine Konkurrenzt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 ist nicht gestattet. Die zeitlichen Grenzen des Arbeitszeitgesetzes sind zu beachten.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</w:pPr>
      <w:r>
        <w:rPr>
          <w:rFonts w:ascii="Verdana" w:hAnsi="Verdana"/>
          <w:sz w:val="20"/>
          <w:szCs w:val="20"/>
          <w:rtl w:val="0"/>
          <w:lang w:val="de-DE"/>
        </w:rPr>
        <w:t>(2) Der Arbeitgeber hat sich zu dem auf Zustimmung gerichteten Antrag des Arbeitnehmers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testens innerhalb von einem Monat zu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ern; die Frist beginnt mit dem Zugang des Antrags beim Arbeitgeber.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rt sich der Arbeitgeber innerhalb dieser Frist nicht, so hat der Arbeitnehmer eine Nachfrist von wenigstens 2 Wochen zu setzen, nach deren ergebnislosen Ablauf die Zustimmung durch den Arbeitgeber als erteilt gilt.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