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Befristete 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eine Familienpflegezeit nach dem Familienpflegezeitgesetz (FPfZG)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4366907</wp:posOffset>
            </wp:positionH>
            <wp:positionV relativeFrom="line">
              <wp:posOffset>308048</wp:posOffset>
            </wp:positionV>
            <wp:extent cx="1599553" cy="50485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53" cy="504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uppressAutoHyphens w:val="1"/>
        <w:spacing w:after="0" w:line="240" w:lineRule="auto"/>
        <w:rPr>
          <w:rFonts w:ascii="Verdana" w:cs="Verdana" w:hAnsi="Verdana" w:eastAsia="Verdana"/>
          <w:kern w:val="1"/>
          <w:sz w:val="20"/>
          <w:szCs w:val="20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Befristete 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eine Familienpflegezeit nach dem Familienpflegezeitgesetz (FPfZG)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_________________________________________________________________________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nachfolgend "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Arbeitgeber</w:t>
      </w:r>
      <w:r>
        <w:rPr>
          <w:rFonts w:ascii="Verdana" w:hAnsi="Verdana"/>
          <w:sz w:val="20"/>
          <w:szCs w:val="20"/>
          <w:rtl w:val="0"/>
          <w:lang w:val="de-DE"/>
        </w:rPr>
        <w:t>"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_________________________________________________________________________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nachfolgend "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Arbeitnehmer</w:t>
      </w:r>
      <w:r>
        <w:rPr>
          <w:rFonts w:ascii="Verdana" w:hAnsi="Verdana"/>
          <w:sz w:val="20"/>
          <w:szCs w:val="20"/>
          <w:rtl w:val="0"/>
          <w:lang w:val="de-DE"/>
        </w:rPr>
        <w:t>"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besteht seit dem _________ [Datum] ein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ltnis, das auf der Grundlage des schriftlichen Arbeitsvertrags vom ________ [Datum], zuletzt ge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 am ________ [Datum].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Auf der Grundlage des Gesetzes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Familienpflegezeit (FPfZG) vereinbaren die Parteien unter Ab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nderung der bisherigen arbeitsvertraglichen Abreden befristet Folgendes: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1 Zeitraum der Familienpflegezeit / Angaben zu dem zu pflegenden Familienangeh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rigen / Nachweise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In der Zeit vom ______ [Datum] bis ______ [Datum] wird der Arbeitnehmer unter 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cksichtigung von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2 FPfZG Familienpflegezeit in Anspruch nehmen. 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Bei dem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uslicher Umgebung zu pflegenden Familienangeh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rigen handelt es sich um die nachfolgend n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her bezeichnete Person: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Name: ____________________________________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Vorname: __________________________________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Geburtsdatum: _____________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Anschrift: ___________________________________________________________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Status des Angeh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rigen [z.B. Gro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vater, Vater, Gro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mutter, Mutter, Schwiegervater, Schwiegermutter]: ______________________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Der Nachweis der Pflegebed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rftigkeit wird wie folgt erbracht: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de-DE"/>
        </w:rPr>
        <w:sym w:font="Arial Unicode MS" w:char="F07F"/>
      </w:r>
      <w:r>
        <w:rPr>
          <w:rFonts w:ascii="Verdana" w:hAnsi="Verdana"/>
          <w:sz w:val="20"/>
          <w:szCs w:val="20"/>
          <w:rtl w:val="0"/>
          <w:lang w:val="de-DE"/>
        </w:rPr>
        <w:t xml:space="preserve"> Bescheinigung der Pflegekasse oder des Medizinischen Dienstes der Krankenversicherung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de-DE"/>
        </w:rPr>
        <w:sym w:font="Arial Unicode MS" w:char="F07F"/>
      </w:r>
      <w:r>
        <w:rPr>
          <w:rFonts w:ascii="Verdana" w:hAnsi="Verdana"/>
          <w:sz w:val="20"/>
          <w:szCs w:val="20"/>
          <w:rtl w:val="0"/>
          <w:lang w:val="de-DE"/>
        </w:rPr>
        <w:t xml:space="preserve"> Vorlage einer Bescheinigung der privaten Pflege-Pflichtversicherung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(3)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Fall, dass die 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usliche Pflege enden sollte, verpflichtet sich der Arbeitnehmer diesen Umstand dem Arbeitgeber unverz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glich mitzuteilen. Ein Versto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ß </w:t>
      </w:r>
      <w:r>
        <w:rPr>
          <w:rFonts w:ascii="Verdana" w:hAnsi="Verdana"/>
          <w:sz w:val="20"/>
          <w:szCs w:val="20"/>
          <w:rtl w:val="0"/>
          <w:lang w:val="de-DE"/>
        </w:rPr>
        <w:t>gegen diese Pflicht kann als Ordnungswidrigkeit mit einer Geldbu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e geahndet werden (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12 FPfZG); siehe dazu auch 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4.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2 Befristet ge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nderte Arbeitszeit / Neuverteilung der Arbeitszeit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Im Hinblick auf die durch den Arbeitnehmer beabsichtigte Pflege des pflegebed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rftigen Angeh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rigen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uslicher Umgebung 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 sich die w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chentliche Arbeitszeit des Arbeitnehmers. Die Arbeitszeit verringert sich ab dem ______ [Datum] (Dauer der Pflegephase) von bislang __ Stunden auf __ Stunden. Die reduzierte w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chentliche Arbeitszeit verteilt sich auf die Wochentage wie folgt: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Die nach dem vorstehenden Absatz verringerte w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chentliche Arbeitszeit des Arbeitnehmers soll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Zeitraum von ___ [Datum] bis ___ [Datum] gelten. Mit Ablauf des letzten Tages des vorerw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hnten Zeitraums endet die Vereinbarung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reduzierte und neu verteilte Arbeitszeit ohne dass es einer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ndigung oder weiterer Abreden hier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bedarf.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3 Aufstockung des Arbeitsentgelts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hrend der Dauer der Familienpflegezeit vereinbaren die Parteien, dass das wegen der verringerten Arbeitszeit reduzierte Arbeitsentgelt seitens des Arbeitgebers und zugunsten des Arbeitnehmers monatlich um einen Bruttobetrag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____ Euro (in Worten: __________ Euro) aufgestockt wird. Es wird durch den Arbeitgeber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Arbeitnehmer ein Wertguthaben gef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hrt. Aufgrund der vorbeschriebenen Entgeltaufstockung entsteht 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hrend der Dauer der Familienpflegezeit ein negativer Saldo auf dem Konto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das Wertguthaben. Der Negativsaldo umfasst neben dem aufgestockten Entgelt auch den hierauf entfallenden Arbeitgeberanteil am Gesamtsozialversicherungsbeitrag.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Das negative Wertguthaben wird in der Nachpflegephase durch den Arbeitgeber unter 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cksichtigung von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5 dieser Vereinbarung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Familienpflegezeit ausgeglichen.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(3) Die Entgeltaufstockung endet mit der Beendigung der Familienpflegezeit bzw. der Pflegephase.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4 Beendigung der Phase der Familienpflege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Die verabredete Familienpflegezeit findet zu dem in dieser Abrede genannten Zeitpunkt ihr Ende, sp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testens aber nach 24 Monaten. Hierf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bedarf es keiner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ndigung oder weiteren Abrede.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Sollte der urspr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nglich pflegebed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rftige Angeh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rige nicht mehr pflegebed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rftig oder die 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usliche Pflege des Angeh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rigen unm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glich oder unzumutbar werden, endet die Familienpflegezeit unter Beachtung von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2a Abs. 5 FPfZG vier Wochen nach Auftreten des jeweiligen Umstands; die zitierte gesetzliche Regelung einer Verk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rzung der Familienpflegezeit bleibt unber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hrt und geht der in dieser Vereinbarung geregelten Befristung der Teilzeit vor. 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(3) Im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kann die Familienpflegezeit nur dann vorzeitig beendet werden, wenn der Arbeitgeber dem zustimmt.</w:t>
      </w: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5 Nachpflegephase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(1) Endet die Familienpflegezeit bzw. Pflegephase beginnt die Nachpflegephase. Mit dem Beginn der Nachpflegephase wird das infolge der Entgeltaufstockung negativ belastete Wertguthaben (siehe dazu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3 dieser Vereinbarung) ausgeglichen. Im Hinblick darauf wird monatlich ein solcher Betrag vom Arbeitsentgelt einbehalten, der 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hrend der Familienpflegezeit dem Betrag der monatlichen Entgeltaufstockung entspricht.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Der Arbeitgeber ist auch dann zu dem nach vorstehendem Absatz erw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hnten Einbehalt berechtigt, wenn der Arbeitnehmer in der Nachpflegephase seine Arbeitszeit aufgrund gesetzlicher, rechtsgesch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ftlicher oder sonstwie begr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ndeter Regelungen verringert. Sollte der Arbeitnehmer Kurzarbeit leisten, verringert sich der Anspruch des Arbeitgebers auf den Einbehalt um den Anteil, um den die Arbeitszeit infolge der Kurzarbeit verringert ist; die Nachpflegephase verl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ngert sich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diesen Fall entsprechend.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6 Vorzeitige Beendigung des Arbeitsverh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ltnisses/Freistellung von der Arbeitspflicht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Sollte das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zu einem Zeitpunkt sein Ende finden, zudem noch ein mit einem negativen Saldo belastetes Wertguthaben besteht, ist der Arbeitnehmer zum Ausgleich des negativen Saldos verpflichtet. Gleiches gilt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Fall, dass der Arbeitnehmer von der Arbeitspflicht freigestellt wird und infolgedessen ein Einbehalt vom Arbeitsentgelt nicht (mehr) erfolgen kann; auch in diesem Fall kann der Arbeitgeber von dem Arbeitnehmer einen Ausgleich des Wertguthabens in Geld verlangen.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7 Anwendbarkeit deutschen Rechts / Datenschutz / Schriftformklausel / salvatorische Klausel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Auf diesen Vertrag findet ausschlie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lich das Recht der Bundesrepublik Deutschland Anwendung. Das gilt insbesondere auch dann, wenn das Recht eines anderen Staates Anwendung finden k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nnte. Die Parteien entscheiden sich auch vor diesem Hintergrund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ausnahmslose Anwendung des Rechts der Bundesrepublik Deutschland.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Der Arbeitnehmer stimmt der Erhebung, Verarbeitung und Nutzung seiner personenbezogenen Daten im Rahmen der Zweckbestimmung des Vertragsverh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ltnisses, insbesondere im Rahmen der Personalverwaltung einschlie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lich der elektronischen Datenverarbeitung, ggf. auch durch seitens des Arbeitgebers beauftragte Dritte, zu.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(3) M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che Ne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ben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ab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re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den sind nicht ge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trof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fen wor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 xml:space="preserve">den. 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de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run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gen und/oder 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zun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gen die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ser Ver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ein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ba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rung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d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fen zu ih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rer Rechts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wirk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sam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keit der Schrift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form. Dies gilt auch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ein Ab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wei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chen vom Schrift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form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for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der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nis selbst; von dieser (doppelten) Schriftformklausel werden ausdr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ckliche und individuell ausgehandelte Abreden zwischen Arbeitgeber und Arbeitnehmer nicht erfasst.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(4) Soll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te ei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ne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mung die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ses Ver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tra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ges un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wirk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sam sein oder wer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den, nichtig sein oder nichtig werden, so wird die Wirk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sam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 xml:space="preserve">keit der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ri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gen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gen da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von nicht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hrt. An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stel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le der un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wirk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sa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men/nichtigen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mung wer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den die Par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tei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en ei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ne sol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che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mung tref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fen, die dem mit der unwirksamen/nichtigen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mung beabsichtigten Zweck am n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chs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ten kommt. Dies gilt auch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Aus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lung even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tu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el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ler Ver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trags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cken.</w:t>
      </w: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8 Fortgeltung des Arbeitsvertrages im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brigen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Im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gelten die bisherigen Regelungen in dem zwischen den Parteien vereinbarten Arbeitsvertrag unver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 fort.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jc w:val="both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5"/>
      <w:footerReference w:type="default" r:id="rId6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