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Vertraulichkeitsvereinbarung 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ber vertrauliche Informationen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361686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(NDA 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b w:val="1"/>
          <w:bCs w:val="1"/>
          <w:sz w:val="28"/>
          <w:szCs w:val="28"/>
          <w:rtl w:val="0"/>
          <w:lang w:val="de-DE"/>
        </w:rPr>
        <w:t>Non Disclosure Agreement)</w:t>
      </w:r>
    </w:p>
    <w:p>
      <w:pPr>
        <w:pStyle w:val="Standard"/>
        <w:spacing w:line="480" w:lineRule="auto"/>
        <w:rPr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b w:val="1"/>
          <w:bCs w:val="1"/>
          <w:kern w:val="2"/>
        </w:rPr>
      </w:pPr>
    </w:p>
    <w:p>
      <w:pPr>
        <w:pStyle w:val="Standard"/>
        <w:suppressAutoHyphens w:val="1"/>
        <w:rPr>
          <w:kern w:val="2"/>
        </w:rPr>
      </w:pPr>
      <w:r>
        <w:rPr>
          <w:kern w:val="2"/>
          <w:u w:val="single"/>
          <w:rtl w:val="0"/>
          <w:lang w:val="de-DE"/>
        </w:rPr>
        <w:t>Zu diesem Muster</w:t>
      </w:r>
      <w:r>
        <w:rPr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b w:val="1"/>
          <w:bCs w:val="1"/>
          <w:rtl w:val="0"/>
          <w:lang w:val="de-DE"/>
        </w:rPr>
        <w:t>ACHTUNG:</w:t>
      </w:r>
      <w:r>
        <w:rPr>
          <w:rFonts w:ascii="Verdana" w:hAnsi="Verdana"/>
          <w:rtl w:val="0"/>
          <w:lang w:val="de-DE"/>
        </w:rPr>
        <w:t xml:space="preserve"> Das Muster gew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hrt keinen allumfassenden Schutz vor dem Verrat von Gesch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ftsgeheimnissen u.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.! Ggf. ist auch an die Stellung einer Sicherheit zu denken.</w:t>
      </w:r>
    </w:p>
    <w:p>
      <w:pPr>
        <w:pStyle w:val="Standard"/>
        <w:spacing w:line="600" w:lineRule="auto"/>
        <w:jc w:val="both"/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ber vertrauliche Informationen</w:t>
      </w:r>
    </w:p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(NDA 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b w:val="1"/>
          <w:bCs w:val="1"/>
          <w:sz w:val="28"/>
          <w:szCs w:val="28"/>
          <w:rtl w:val="0"/>
          <w:lang w:val="de-DE"/>
        </w:rPr>
        <w:t>Non Disclosure Agreement)</w:t>
      </w:r>
    </w:p>
    <w:p>
      <w:pPr>
        <w:pStyle w:val="Standard"/>
        <w:spacing w:line="360" w:lineRule="auto"/>
      </w:pPr>
    </w:p>
    <w:p>
      <w:pPr>
        <w:pStyle w:val="Standard"/>
        <w:jc w:val="center"/>
      </w:pPr>
      <w:r>
        <w:rPr>
          <w:rtl w:val="0"/>
          <w:lang w:val="de-DE"/>
        </w:rPr>
        <w:t>zwischen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_______________________________________________________________________</w:t>
      </w:r>
    </w:p>
    <w:p>
      <w:pPr>
        <w:pStyle w:val="Standard"/>
      </w:pPr>
    </w:p>
    <w:p>
      <w:pPr>
        <w:pStyle w:val="Standard"/>
        <w:jc w:val="right"/>
      </w:pPr>
      <w:r>
        <w:rPr>
          <w:rtl w:val="0"/>
          <w:lang w:val="de-DE"/>
        </w:rPr>
        <w:t xml:space="preserve">nachfolgend auch </w:t>
      </w:r>
      <w:r>
        <w:rPr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Informationsgeber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oder </w:t>
      </w:r>
      <w:r>
        <w:rPr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P 1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  <w:jc w:val="center"/>
      </w:pPr>
      <w:r>
        <w:rPr>
          <w:rtl w:val="0"/>
          <w:lang w:val="de-DE"/>
        </w:rPr>
        <w:t>und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_______________________________________________________________________</w:t>
      </w:r>
    </w:p>
    <w:p>
      <w:pPr>
        <w:pStyle w:val="Standard"/>
      </w:pPr>
    </w:p>
    <w:p>
      <w:pPr>
        <w:pStyle w:val="Standard"/>
        <w:jc w:val="right"/>
      </w:pPr>
      <w:r>
        <w:rPr>
          <w:rtl w:val="0"/>
          <w:lang w:val="de-DE"/>
        </w:rPr>
        <w:t xml:space="preserve">nachfolgend auch </w:t>
      </w:r>
      <w:r>
        <w:rPr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Informationsnehmer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oder </w:t>
      </w:r>
      <w:r>
        <w:rPr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Interessent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oder </w:t>
      </w:r>
      <w:r>
        <w:rPr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P 2</w:t>
      </w:r>
      <w:r>
        <w:rPr>
          <w:rtl w:val="0"/>
          <w:lang w:val="de-DE"/>
        </w:rPr>
        <w:t>“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ambel</w:t>
      </w:r>
    </w:p>
    <w:p>
      <w:pPr>
        <w:pStyle w:val="Standard"/>
      </w:pPr>
    </w:p>
    <w:p>
      <w:pPr>
        <w:pStyle w:val="Standard"/>
        <w:jc w:val="both"/>
      </w:pPr>
      <w:r>
        <w:rPr>
          <w:rtl w:val="0"/>
          <w:lang w:val="de-DE"/>
        </w:rPr>
        <w:t>Der Interessent (P 2) hat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P 1 ge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ert, dass er ein Interesse besitzt an _______________________ [z. B. Kauf eines Unternehmens, Beteiligung an dem Unternehmen X, an einer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ftsidee usw.].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Im Zuge der weiteren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che und Verhandlungen zwischen P 1 und P 2 werden dem Interessenten Informationen u. a.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_________________ [z. B.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ftszahlen, Details zu einer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ftsidee usw.] vertraulich mitgeteilt. Diese Informationen sind streng vertraulich zu behandeln und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rfen Dritten nur aufgrund besonderer und schriftlicher Gestattung durch den Informationsgeber und nur nach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gabe dieser Vereinbarung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egal in welcher Form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mitgeteilt werden. 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Voraussetzung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bermittlung der vertraulichen Informationen von P 1 an P 2 oder auch Dritte ist der Abschluss dieser Vertraulichkeitsvereinbarung.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Das vorausgesetzt vereinbaren die Parteien Folgendes:</w:t>
      </w: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1 Gegenstand dieser Vereinbarung / vertrauliche Informationen / Adressatenkreis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(1) Vertrauliche Informationen 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dieser Vertraulichkeitsvereinbarung (NDA) sind alle P 2 zug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nglich gemachten Informationen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in der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ambel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her bezeichneten Gegenstand. Die Form der Information spielt dabei keine Rolle. Die Vereinbarung 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t alle schriftlichen,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ndlichen und/oder in elektronischer Form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bermittelten Informationen bzw. Daten ein. Im Einzelnen handelt es sich um Folgendes:</w:t>
      </w:r>
    </w:p>
    <w:p>
      <w:pPr>
        <w:pStyle w:val="Standard"/>
        <w:jc w:val="both"/>
      </w:pP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_____________________________</w:t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_____________________________</w:t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_____________________________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[z. B. Konzepte,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sentationen, Plandaten, betriebswirtschaftliche Auswertungen, Bilanzdaten, Betriebsgeheimnisse, technisches Know-how usw.].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 xml:space="preserve">(2) Eine Information ist nicht als vertraulich anzusehen, wenn sie zu der Zeit zu der P 2 von der Information Kenntnis erlangt hat, bereits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 bekannt gewesen ist. Gleichfalls als nicht vertraulich sind solche Informationen anzusehen, die zeitlich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ter mit Zustimmung von P 1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 bekannt geworden sind bzw. bekannt gemacht wurden.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 xml:space="preserve">(3) Als zur Erlangung der genannten Informationen berechtigt anzusehen sind P 2, dessen etwaige Organe (Gesellschafter bzw. Gesellschafterversammlung, Aufsichtsrat, Vorstand u.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.) sowie Mitarbeiter von P 2; Letztere (Mitarbeiter) aber nur, wenn sie zuvor eine schriftliche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zu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nden von P 1 abgegeben haben, wonach sie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tigen, von dem Inhalt dieser Vereinbarung Kenntnis zu besitzen und sich verpflichten, den Inhalt dieser Vereinbarung zu beachten. Mitarbeiter sind Arbeitnehmer, sog. freie Mitarbeiter und auch Zeitarbeitskr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fte (Leiharbeitnehmer). Weiterhin als berechtigt anzusehen sind solche Personen, die kraft Gesetzes einer Verpflichtung zur Verschwiegenheit unterliegen (z. B. Steuerberater, Wirtschaftspr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fer, Rechtsanw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lte) sowie sonstige Berater von P 2, wenn sich diese im Umfange dieser Vereinbarung auch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P 1 zur unbedingten Verschwiegenheit unter Einhaltung dieser Vereinbarung verpflichtet haben.</w:t>
      </w:r>
    </w:p>
    <w:p>
      <w:pPr>
        <w:pStyle w:val="Standard"/>
        <w:spacing w:line="360" w:lineRule="auto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2 Pflichten von P 2</w:t>
      </w:r>
    </w:p>
    <w:p>
      <w:pPr>
        <w:pStyle w:val="Standard"/>
      </w:pPr>
    </w:p>
    <w:p>
      <w:pPr>
        <w:pStyle w:val="Standard"/>
        <w:jc w:val="both"/>
      </w:pPr>
      <w:r>
        <w:rPr>
          <w:rtl w:val="0"/>
          <w:lang w:val="de-DE"/>
        </w:rPr>
        <w:t xml:space="preserve">(1) P 2 verpflichtet sich, alle ihm unmittelbar oder mittelbar zur Kenntnis gelangten Informationen im Sinne von </w:t>
      </w:r>
      <w:r>
        <w:rPr>
          <w:rtl w:val="0"/>
          <w:lang w:val="de-DE"/>
        </w:rPr>
        <w:t xml:space="preserve">§ </w:t>
      </w:r>
      <w:r>
        <w:rPr>
          <w:rtl w:val="0"/>
          <w:lang w:val="de-DE"/>
        </w:rPr>
        <w:t xml:space="preserve">1 Abs. 1 dieser Vereinbarung streng vertraulich zu behandeln und sie nicht ohne vorherige schriftliche Zustimmung seitens P 1 nicht berechtigten Personen (siehe auch </w:t>
      </w:r>
      <w:r>
        <w:rPr>
          <w:rtl w:val="0"/>
          <w:lang w:val="de-DE"/>
        </w:rPr>
        <w:t xml:space="preserve">§ </w:t>
      </w:r>
      <w:r>
        <w:rPr>
          <w:rtl w:val="0"/>
          <w:lang w:val="de-DE"/>
        </w:rPr>
        <w:t>1 Abs. 3 dieser Vereinbarung) auszuh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ndigen, weiterzuleiten oder auf sonstige Weise zug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nglich zu machen.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hinaus verpflichtet sich P 2 dazu, geeignete Vorkehrungen zum Schutz der Informationen zu treffen, insbesondere elektronische Informationen mit einem geeigneten Passwort zu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tzen,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ndliche Informationen wie z. B. schriftliche Informationen sicher und in zumutbarem Umfange unter Verschluss zu halten und damit gegen den unberechtigten Zugriff durch Dritte zu sichern.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(2) P 2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rt, dass er vertrauliche Informationen nach dieser Vereinbarung nur an berechtigte Personen weitergibt und dies auch nur dann, wenn die betreffenden Personen die Informationen aufgrund ihrer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P 2 erhalten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ssen, damit der Zweck, den diese Vereinbarung verfolgt (siehe dazu auch die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hrungen in der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ambel), erreicht werden kann.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(3) P 2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rt, dass er alle ihm zur Kenntnis gelangten Informationen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zu den in der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ambel genannten Zwecken verwenden wird.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(4) P 2 wird keine Kopien oder sonstige Vervielf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ltigungen der durch P 1 ausgeh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ndigten Informationen fertigen, wenn nicht P 1 zuvor schriftlich hierzu seine Zustimmung erteilt.</w:t>
      </w:r>
    </w:p>
    <w:p>
      <w:pPr>
        <w:pStyle w:val="Standard"/>
      </w:pPr>
    </w:p>
    <w:p>
      <w:pPr>
        <w:pStyle w:val="Standard"/>
        <w:jc w:val="both"/>
      </w:pPr>
      <w:r>
        <w:rPr>
          <w:rtl w:val="0"/>
          <w:lang w:val="de-DE"/>
        </w:rPr>
        <w:t>(5) P 2 wird am Schluss der Zusammenarbeit mit P 1 oder auch nach entsprechender Aufforderung durch P 1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mtliche ihm (P 2)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gestellten Dokumente, Unterlagen und sonstigen Informationen unverz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zur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ckgeben, alternativ auf Verlangen von P 1 unverz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ren bzw.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schen. P 2 hat P 1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etwaige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rung und/oder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schung unverz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zu informieren und geeignete Nachweise zu erbringen. P 2 steht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P 1 unter keinem rechtlichen Gesichtspunkt ein Zur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ckbehaltungsrecht an den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ndlichen Informationen zu, wenn sich nicht aus zwingenden gesetzlichen oder sonstigen rechtlichen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nden ein anderes ergibt. </w:t>
      </w:r>
    </w:p>
    <w:p>
      <w:pPr>
        <w:pStyle w:val="Standard"/>
      </w:pPr>
    </w:p>
    <w:p>
      <w:pPr>
        <w:pStyle w:val="Standard"/>
        <w:jc w:val="both"/>
      </w:pPr>
      <w:r>
        <w:rPr>
          <w:rtl w:val="0"/>
          <w:lang w:val="de-DE"/>
        </w:rPr>
        <w:t>(6) P 2 verpflichtet sich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P 1 diesen unverz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zu informieren, wenn P 2 Kenntnis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erlangt hat, dass Organe, Mitarbeiter sowie sonstige Vertrauenspersonen von P 2 vertrauliche Informationen unter Versto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gegen diese Vereinbarung weitergegeben haben.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(7) Unabh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ngig von dem Vorstehenden verpflichtet sich P 2 zur Einhaltung aller bestehenden gesetzlichen und sonstige rechtlichen Regelung zum Datenschutz.</w:t>
      </w:r>
    </w:p>
    <w:p>
      <w:pPr>
        <w:pStyle w:val="Standard"/>
        <w:spacing w:line="360" w:lineRule="auto"/>
        <w:rPr>
          <w:b w:val="1"/>
          <w:bCs w:val="1"/>
        </w:rPr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3 Vertragsstrafenregelung</w:t>
      </w:r>
    </w:p>
    <w:p>
      <w:pPr>
        <w:pStyle w:val="Standard"/>
      </w:pPr>
    </w:p>
    <w:p>
      <w:pPr>
        <w:pStyle w:val="Standard"/>
        <w:jc w:val="both"/>
      </w:pPr>
      <w:r>
        <w:rPr>
          <w:rtl w:val="0"/>
          <w:lang w:val="de-DE"/>
        </w:rPr>
        <w:t>(1) P 2 verpflichtet sich,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jeden Fall des schuldhaften Versto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es gegen die Verpflichtungen zur Wahrung der Vertraulichkeit aufgrund dieses Vertrages, die Zahlung einer Vertragsstrafe in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he von _____________ EUR (in Worten: __________________) zu zahlen. Mit der Zahlung der Vertragsstrafe wird die Geltendmachung eines etwaig bestehenden Anspruchs auf Unterlassung oder eines ggf.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hinausgehenden Anspruchs auf Schadensersatz nicht ausgeschlossen.</w:t>
      </w:r>
    </w:p>
    <w:p>
      <w:pPr>
        <w:pStyle w:val="Standard"/>
      </w:pPr>
    </w:p>
    <w:p>
      <w:pPr>
        <w:pStyle w:val="Standard"/>
        <w:jc w:val="both"/>
      </w:pPr>
      <w:r>
        <w:rPr>
          <w:rtl w:val="0"/>
          <w:lang w:val="de-DE"/>
        </w:rPr>
        <w:t>(2) P 2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rt, dass 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ein etwaig schuldhaftes Verhalten seiner Mitarbeiter (siehe dazu oben </w:t>
      </w:r>
      <w:r>
        <w:rPr>
          <w:rtl w:val="0"/>
          <w:lang w:val="de-DE"/>
        </w:rPr>
        <w:t xml:space="preserve">§ </w:t>
      </w:r>
      <w:r>
        <w:rPr>
          <w:rtl w:val="0"/>
          <w:lang w:val="de-DE"/>
        </w:rPr>
        <w:t xml:space="preserve">1 Abs. 3 Satz 2 der Vereinbarung) und sonstiger Personen im Sine von </w:t>
      </w:r>
      <w:r>
        <w:rPr>
          <w:rtl w:val="0"/>
          <w:lang w:val="de-DE"/>
        </w:rPr>
        <w:t xml:space="preserve">§ </w:t>
      </w:r>
      <w:r>
        <w:rPr>
          <w:rtl w:val="0"/>
          <w:lang w:val="de-DE"/>
        </w:rPr>
        <w:t xml:space="preserve">1 Abs. 3 Satz 2 ebenfalls im Umfange von </w:t>
      </w:r>
      <w:r>
        <w:rPr>
          <w:rtl w:val="0"/>
          <w:lang w:val="de-DE"/>
        </w:rPr>
        <w:t xml:space="preserve">§ </w:t>
      </w:r>
      <w:r>
        <w:rPr>
          <w:rtl w:val="0"/>
          <w:lang w:val="de-DE"/>
        </w:rPr>
        <w:t>3 Abs. 1 dieser Vereinbarung einstehen wird.</w:t>
      </w:r>
    </w:p>
    <w:p>
      <w:pPr>
        <w:pStyle w:val="Standard"/>
        <w:spacing w:line="360" w:lineRule="auto"/>
        <w:jc w:val="both"/>
        <w:rPr>
          <w:b w:val="1"/>
          <w:bCs w:val="1"/>
        </w:rPr>
      </w:pPr>
    </w:p>
    <w:p>
      <w:pPr>
        <w:pStyle w:val="Standard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4 Vertragslaufzeit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Diese Vereinbarung tritt ab dem Zeitpunkt ihrer Unterzeichnung in Kraft. Sie endet bis Ablauf von ___ Jahren nach endg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ltigem Abschluss der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 zwischen den Parteien.</w:t>
      </w:r>
    </w:p>
    <w:p>
      <w:pPr>
        <w:pStyle w:val="Standard"/>
        <w:spacing w:line="360" w:lineRule="auto"/>
        <w:jc w:val="both"/>
      </w:pPr>
    </w:p>
    <w:p>
      <w:pPr>
        <w:pStyle w:val="Standard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5 Schriftformklausel / Anwendbarkeit deutschen Rechts / salvatorische Klausel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 xml:space="preserve">(1)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nderungen und Erg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nzungen dieser Vereinbarung bed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rfen der Schriftform. Das gilt</w:t>
      </w:r>
    </w:p>
    <w:p>
      <w:pPr>
        <w:pStyle w:val="Standard"/>
        <w:jc w:val="both"/>
      </w:pPr>
      <w:r>
        <w:rPr>
          <w:rtl w:val="0"/>
          <w:lang w:val="de-DE"/>
        </w:rPr>
        <w:t>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eine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 dieser Schriftformklausel selbst.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(2)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Fall, dass einzelne Bestimmungen dieser Vereinbarung ganz oder teilweise unwirksam sind oder werden, ganz oder teilweise nichtig sind oder nichtig werden und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Fall, dass diese Vereinbarung von den Parteien nicht beabsichtigte 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 enth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lt, wird dadurch die Wirksamkeit der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brigen Bestimmungen dieser Vereinbarung nicht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hrt. Anstelle der unwirksamen oder nichtigen oder fehlenden Bestimmung tritt eine solche wirksame Bestimmung, die dem Willen der Parteien unter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cksichtigung des Zwecks dieser Vereinbarung am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chsten kommt und vereinbart worden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re, wenn die Parteien beim Abschluss dieser Vereinbarung die Unwirksamkeit oder Nichtigkeit oder das Fehlen der jeweiligen Bestimmung bewusst gewesen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de-DE"/>
        </w:rPr>
        <w:t>(3)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Rechtsstreitigkeiten aus dieser und anl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sslich dieser Vereinbarung soll deutsches Recht Anwendung finden. Soweit dies gesetzlich oder aus sonstigen rechtlichen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nden zugelassen ist,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hlen die Parteien dieser Vereinbarung ausdr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 das Recht der Bundesrepublik Deutschland.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(4) Soweit rechtlich zul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hlen die Parteien als Gerichtsstand _______________.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</w:t>
        <w:tab/>
        <w:t>____________________________</w:t>
      </w:r>
    </w:p>
    <w:p>
      <w:pPr>
        <w:pStyle w:val="Standard"/>
      </w:pPr>
      <w:r>
        <w:rPr>
          <w:rtl w:val="0"/>
          <w:lang w:val="de-DE"/>
        </w:rPr>
        <w:t>Ort/Datum/Unterschrift P 1</w:t>
        <w:tab/>
        <w:tab/>
        <w:tab/>
        <w:t>Ort/Datum/Unterschrift P 2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